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numPr>
          <w:ilvl w:val="1"/>
          <w:numId w:val="1"/>
        </w:numPr>
        <w:spacing w:before="200" w:after="120"/>
        <w:jc w:val="center"/>
        <w:rPr/>
      </w:pPr>
      <w:r>
        <w:rPr>
          <w:rFonts w:ascii="Open Sans;sans-serif" w:hAnsi="Open Sans;sans-serif"/>
          <w:b/>
          <w:i w:val="false"/>
          <w:caps w:val="false"/>
          <w:smallCaps w:val="false"/>
          <w:color w:val="333333"/>
          <w:spacing w:val="0"/>
          <w:sz w:val="27"/>
        </w:rPr>
        <w:t>Памятка по профилактике туберкулёза</w:t>
      </w:r>
      <w:r>
        <w:rPr/>
        <w:drawing>
          <wp:inline distT="0" distB="0" distL="0" distR="0">
            <wp:extent cx="5848985" cy="46869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037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865120" cy="417195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57027" t="47524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1"/>
        <w:widowControl/>
        <w:numPr>
          <w:ilvl w:val="0"/>
          <w:numId w:val="1"/>
        </w:numPr>
        <w:spacing w:lineRule="auto" w:line="240" w:before="0" w:after="75"/>
        <w:ind w:left="0" w:right="0" w:hanging="0"/>
        <w:jc w:val="center"/>
        <w:rPr>
          <w:rFonts w:ascii="Open Sans;sans-serif" w:hAnsi="Open Sans;sans-serif"/>
          <w:b/>
          <w:b/>
          <w:i w:val="false"/>
          <w:i w:val="false"/>
          <w:caps w:val="false"/>
          <w:smallCaps w:val="false"/>
          <w:color w:val="006699"/>
          <w:spacing w:val="0"/>
          <w:sz w:val="39"/>
        </w:rPr>
      </w:pPr>
      <w:bookmarkStart w:id="0" w:name="hPage"/>
      <w:bookmarkEnd w:id="0"/>
      <w:r>
        <w:rPr>
          <w:rFonts w:ascii="Open Sans;sans-serif" w:hAnsi="Open Sans;sans-serif"/>
          <w:b/>
          <w:i w:val="false"/>
          <w:caps w:val="false"/>
          <w:smallCaps w:val="false"/>
          <w:color w:val="006699"/>
          <w:spacing w:val="0"/>
          <w:sz w:val="39"/>
        </w:rPr>
        <w:t>Памятка для населения. Туберкулез</w:t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7"/>
        <w:widowControl/>
        <w:spacing w:lineRule="atLeast" w:line="345" w:before="0" w:after="0"/>
        <w:ind w:left="36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000000"/>
          <w:spacing w:val="0"/>
          <w:sz w:val="21"/>
        </w:rPr>
        <w:t>ТУБЕРКУЛЕЗ - заразное заболевание</w:t>
      </w:r>
    </w:p>
    <w:p>
      <w:pPr>
        <w:pStyle w:val="Style17"/>
        <w:widowControl/>
        <w:spacing w:lineRule="atLeast" w:line="345" w:before="0" w:after="0"/>
        <w:ind w:left="36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ТУБЕРКУЛЕЗ</w:t>
      </w:r>
      <w:r>
        <w:rPr>
          <w:rStyle w:val="Style13"/>
          <w:rFonts w:ascii="inherit" w:hAnsi="inherit"/>
          <w:b/>
          <w:i w:val="false"/>
          <w:caps w:val="false"/>
          <w:smallCaps w:val="false"/>
          <w:color w:val="006400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- тяжелое инфекционное заболевание, характеризуется образованием воспалительных изменений в органах, чаще всего в легких, могут поражаться кости, суставы, глаза и др. Чаще болеют люди с ослабленным иммунитетом.</w:t>
      </w:r>
    </w:p>
    <w:p>
      <w:pPr>
        <w:pStyle w:val="Style17"/>
        <w:widowControl/>
        <w:spacing w:lineRule="atLeast" w:line="345" w:before="0" w:after="0"/>
        <w:ind w:left="36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Факторы, способствующие заболеванию туберкулезом</w:t>
      </w:r>
      <w:r>
        <w:rPr>
          <w:rStyle w:val="Style13"/>
          <w:rFonts w:ascii="inherit" w:hAnsi="inherit"/>
          <w:b w:val="false"/>
          <w:i w:val="false"/>
          <w:caps w:val="false"/>
          <w:smallCaps w:val="false"/>
          <w:color w:val="CE181E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CE181E"/>
          <w:spacing w:val="0"/>
          <w:sz w:val="21"/>
        </w:rPr>
        <w:t>(снижению иммунитета):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CE181E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CE181E"/>
          <w:spacing w:val="0"/>
          <w:sz w:val="21"/>
        </w:rPr>
      </w:r>
    </w:p>
    <w:p>
      <w:pPr>
        <w:pStyle w:val="Style17"/>
        <w:widowControl/>
        <w:numPr>
          <w:ilvl w:val="0"/>
          <w:numId w:val="2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неблагоприятные социальные и экологические условия жизни</w:t>
      </w:r>
    </w:p>
    <w:p>
      <w:pPr>
        <w:pStyle w:val="Style17"/>
        <w:widowControl/>
        <w:numPr>
          <w:ilvl w:val="0"/>
          <w:numId w:val="2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неполноценное питание</w:t>
      </w:r>
    </w:p>
    <w:p>
      <w:pPr>
        <w:pStyle w:val="Style17"/>
        <w:widowControl/>
        <w:numPr>
          <w:ilvl w:val="0"/>
          <w:numId w:val="2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алкоголизм, курение, наркомания</w:t>
      </w:r>
    </w:p>
    <w:p>
      <w:pPr>
        <w:pStyle w:val="Style17"/>
        <w:widowControl/>
        <w:numPr>
          <w:ilvl w:val="0"/>
          <w:numId w:val="2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стрессы</w:t>
      </w:r>
    </w:p>
    <w:p>
      <w:pPr>
        <w:pStyle w:val="Style17"/>
        <w:widowControl/>
        <w:numPr>
          <w:ilvl w:val="0"/>
          <w:numId w:val="2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наличие сопутствующих заболеваний (диабета,язвенной болезни желудка или 12-перстной кишки, заболеваний легких) и др.</w:t>
      </w:r>
    </w:p>
    <w:p>
      <w:pPr>
        <w:pStyle w:val="Style17"/>
        <w:widowControl/>
        <w:spacing w:lineRule="atLeast" w:line="345" w:before="0" w:after="150"/>
        <w:ind w:left="855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ВОЗБУДИТЕЛЬ ТУБЕРКУЛЕЗА</w:t>
      </w:r>
      <w:r>
        <w:rPr>
          <w:rStyle w:val="Style13"/>
          <w:rFonts w:ascii="inherit" w:hAnsi="inherit"/>
          <w:b/>
          <w:i w:val="false"/>
          <w:caps w:val="false"/>
          <w:smallCaps w:val="false"/>
          <w:color w:val="006400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микобактерии (палочки Коха, открыты в 1882 году немецким врачом Р.Кохом), имеют высокую устойчивость к факторам внешней среды: при кипячении погибают через 5 минут, при t600 С – выживают 20 минут, в уличной пыли сохраняются до 10 дней, в воде до 5 месяцев. Вещества, содержащие активный хлор, вызывают гибель микобактерий в течение 3-5 часов. Микобактерии сохраняют свою жизнеспособность в условиях высокой влажности, на различных предметах, а также в продуктах, особенно молочных.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ИСТОЧНИК ИНФЕКЦИИ</w:t>
      </w:r>
      <w:r>
        <w:rPr>
          <w:rStyle w:val="Style13"/>
          <w:rFonts w:ascii="inherit" w:hAnsi="inherit"/>
          <w:b/>
          <w:i w:val="false"/>
          <w:caps w:val="false"/>
          <w:smallCaps w:val="false"/>
          <w:color w:val="006400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человек, крупный рогатый скот, который также болеет туберкулезом.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ПРОФИЛАКТИКА: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>
          <w:rStyle w:val="Style13"/>
          <w:rFonts w:ascii="inherit" w:hAnsi="inherit"/>
          <w:b/>
          <w:b/>
          <w:i w:val="false"/>
          <w:i w:val="false"/>
          <w:caps w:val="false"/>
          <w:smallCaps w:val="false"/>
          <w:color w:val="CE181E"/>
          <w:spacing w:val="0"/>
          <w:sz w:val="21"/>
        </w:rPr>
      </w:pPr>
      <w:r>
        <w:rPr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положительные эмоции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отказ от вредных привычек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соблюдение личной гигиены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вакцинация и ревакцинация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ежегодная флюорография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соблюдение гигиены жилища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физическая активность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полноценное питание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чистый воздух и солнечный свет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ограничение контакта с больным</w:t>
      </w:r>
    </w:p>
    <w:p>
      <w:pPr>
        <w:pStyle w:val="Style17"/>
        <w:widowControl/>
        <w:numPr>
          <w:ilvl w:val="0"/>
          <w:numId w:val="3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spacing w:lineRule="atLeast" w:line="345" w:before="0" w:after="0"/>
        <w:ind w:left="855" w:right="0" w:hanging="0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ПУТИ ПЕРЕДАЧИ:</w:t>
      </w:r>
    </w:p>
    <w:p>
      <w:pPr>
        <w:pStyle w:val="Style17"/>
        <w:widowControl/>
        <w:spacing w:lineRule="atLeast" w:line="345" w:before="0" w:after="0"/>
        <w:ind w:left="855" w:right="0" w:hanging="0"/>
        <w:rPr>
          <w:rStyle w:val="Style13"/>
          <w:rFonts w:ascii="inherit" w:hAnsi="inherit"/>
          <w:b/>
          <w:b/>
          <w:i w:val="false"/>
          <w:i w:val="false"/>
          <w:caps w:val="false"/>
          <w:smallCaps w:val="false"/>
          <w:color w:val="CE181E"/>
          <w:spacing w:val="0"/>
          <w:sz w:val="21"/>
        </w:rPr>
      </w:pPr>
      <w:r>
        <w:rPr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</w:r>
    </w:p>
    <w:p>
      <w:pPr>
        <w:pStyle w:val="Style17"/>
        <w:widowControl/>
        <w:numPr>
          <w:ilvl w:val="0"/>
          <w:numId w:val="4"/>
        </w:numPr>
        <w:tabs>
          <w:tab w:val="left" w:pos="0" w:leader="none"/>
        </w:tabs>
        <w:spacing w:lineRule="atLeast" w:line="270" w:before="0" w:after="0"/>
        <w:ind w:left="270" w:right="0" w:hanging="283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000000"/>
          <w:spacing w:val="0"/>
          <w:sz w:val="21"/>
        </w:rPr>
        <w:t xml:space="preserve">воздушно-капельный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вдыхание зараженной пыли, капелек мокроты при разговоре, чихании, кашле</w:t>
      </w:r>
    </w:p>
    <w:p>
      <w:pPr>
        <w:pStyle w:val="Style17"/>
        <w:widowControl/>
        <w:numPr>
          <w:ilvl w:val="0"/>
          <w:numId w:val="4"/>
        </w:numPr>
        <w:tabs>
          <w:tab w:val="left" w:pos="0" w:leader="none"/>
        </w:tabs>
        <w:spacing w:lineRule="atLeast" w:line="270" w:before="0" w:after="0"/>
        <w:ind w:left="270" w:right="0" w:hanging="283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000000"/>
          <w:spacing w:val="0"/>
          <w:sz w:val="21"/>
        </w:rPr>
        <w:t xml:space="preserve">желудочно-кишечный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употребление в пищу зараженных продуктов</w:t>
      </w:r>
    </w:p>
    <w:p>
      <w:pPr>
        <w:pStyle w:val="Style17"/>
        <w:widowControl/>
        <w:numPr>
          <w:ilvl w:val="0"/>
          <w:numId w:val="4"/>
        </w:numPr>
        <w:tabs>
          <w:tab w:val="left" w:pos="0" w:leader="none"/>
        </w:tabs>
        <w:spacing w:lineRule="atLeast" w:line="270" w:before="0" w:after="0"/>
        <w:ind w:left="270" w:right="0" w:hanging="283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000000"/>
          <w:spacing w:val="0"/>
          <w:sz w:val="21"/>
        </w:rPr>
        <w:t xml:space="preserve">контактно-бытовой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через поврежденную кожу и слизистые оболочки, поцелуи с больным человеком, в общественном транспорте</w:t>
      </w:r>
    </w:p>
    <w:p>
      <w:pPr>
        <w:pStyle w:val="Style17"/>
        <w:widowControl/>
        <w:numPr>
          <w:ilvl w:val="0"/>
          <w:numId w:val="4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5"/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  <w:t>При чихании и кашле прикрывайте рот.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5"/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  <w:t>Не плюйте – микобактерии очень живучие.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5"/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  <w:t>Старайтесь лишний раз не браться за поручни.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5"/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  <w:t>Проводите больше времени на свежем воздухе.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>
          <w:rStyle w:val="Style15"/>
          <w:rFonts w:ascii="inherit" w:hAnsi="inherit"/>
          <w:b w:val="false"/>
          <w:b w:val="false"/>
          <w:i/>
          <w:i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ПРИЗНАКИ, ТРЕБУЮЩИЕ ОБРАЩЕНИЯ К ВРАЧУ: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>
          <w:rStyle w:val="Style13"/>
          <w:rFonts w:ascii="inherit" w:hAnsi="inherit"/>
          <w:b/>
          <w:b/>
          <w:i w:val="false"/>
          <w:i w:val="false"/>
          <w:caps w:val="false"/>
          <w:smallCaps w:val="false"/>
          <w:color w:val="CE181E"/>
          <w:spacing w:val="0"/>
          <w:sz w:val="21"/>
        </w:rPr>
      </w:pPr>
      <w:r>
        <w:rPr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</w:r>
    </w:p>
    <w:p>
      <w:pPr>
        <w:pStyle w:val="Style17"/>
        <w:widowControl/>
        <w:numPr>
          <w:ilvl w:val="0"/>
          <w:numId w:val="5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быстрая утомляемость, общая слабость</w:t>
      </w:r>
    </w:p>
    <w:p>
      <w:pPr>
        <w:pStyle w:val="Style17"/>
        <w:widowControl/>
        <w:numPr>
          <w:ilvl w:val="0"/>
          <w:numId w:val="5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потеря аппетита</w:t>
      </w:r>
    </w:p>
    <w:p>
      <w:pPr>
        <w:pStyle w:val="Style17"/>
        <w:widowControl/>
        <w:numPr>
          <w:ilvl w:val="0"/>
          <w:numId w:val="5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одышка при небольших физических нагрузках</w:t>
      </w:r>
    </w:p>
    <w:p>
      <w:pPr>
        <w:pStyle w:val="Style17"/>
        <w:widowControl/>
        <w:numPr>
          <w:ilvl w:val="0"/>
          <w:numId w:val="5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длительный кашель и повышение температуры тела до 37,0 – 37,5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15"/>
        </w:rPr>
        <w:t>0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С</w:t>
      </w:r>
    </w:p>
    <w:p>
      <w:pPr>
        <w:pStyle w:val="Style17"/>
        <w:widowControl/>
        <w:numPr>
          <w:ilvl w:val="0"/>
          <w:numId w:val="5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потливость (особенно по ночам), потеря веса и пр.</w:t>
      </w:r>
    </w:p>
    <w:p>
      <w:pPr>
        <w:pStyle w:val="Style17"/>
        <w:widowControl/>
        <w:numPr>
          <w:ilvl w:val="0"/>
          <w:numId w:val="5"/>
        </w:numPr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Длительное время туберкулез может протекать незаметно для больного и срываться под маской ОРЗ, бронхита, воспаления легких и тд.</w:t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/>
          <w:iCs/>
          <w:caps w:val="false"/>
          <w:smallCaps w:val="false"/>
          <w:color w:val="000000"/>
          <w:spacing w:val="0"/>
          <w:sz w:val="21"/>
        </w:rPr>
        <w:t>Своевременно выявленный туберкулез при рано начатом лечении излечивается!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РАННЕЕ ВЫЯВЛЕНИЕ ТУБЕРКУЛЕЗА:</w:t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>
          <w:rStyle w:val="Style13"/>
          <w:rFonts w:ascii="inherit" w:hAnsi="inherit"/>
          <w:b/>
          <w:b/>
          <w:i w:val="false"/>
          <w:i w:val="false"/>
          <w:caps w:val="false"/>
          <w:smallCaps w:val="false"/>
          <w:color w:val="CE181E"/>
          <w:spacing w:val="0"/>
          <w:sz w:val="21"/>
        </w:rPr>
      </w:pPr>
      <w:r>
        <w:rPr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У детей реакция Манту, у взрослых – флюорография.</w:t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Вакцинация детей вакциной БЦЖ проводится в родильном доме и ревакцинация – в 7 и 14 лет, взрослых – до 30 лет по медицинским показаниям.</w:t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При появлении положительной пробы или увеличения её размера на 6 мм и больше, по сравнению с предыдущей пробой, необходимо обследоваться в противотуберкулезном диспансере.</w:t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Флюорография грудной клетки проводится ежегодно, что позволяет, кроме туберкулеза, своевременно выявить другую патологию легких, сердца, онкологические и профессиональные заболевания. </w:t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Если в вашем окружении есть больной туберкулезом, обследоваться нужно 2 раза в год в противотуберкулезном диспансере. Детям и подросткам необходимо пройти химиопрофилактику (лечение противотуберкулезными средствами). </w:t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Отказ от профилактического обследования и рекомендаций врача может привести к трудноизлечимым формам туберкулеза.</w:t>
      </w:r>
    </w:p>
    <w:p>
      <w:pPr>
        <w:pStyle w:val="Style17"/>
        <w:widowControl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B22222"/>
          <w:spacing w:val="0"/>
          <w:sz w:val="21"/>
        </w:rPr>
        <w:t>Здоровый образ жизни – путь к долголетию!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inheri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 Sans">
    <w:altName w:val="sans-serif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70"/>
        </w:tabs>
        <w:ind w:left="270" w:hanging="283"/>
      </w:pPr>
      <w:rPr>
        <w:rFonts w:ascii="Symbol" w:hAnsi="Symbol" w:cs="Symbol" w:hint="default"/>
        <w:sz w:val="21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70"/>
        </w:tabs>
        <w:ind w:left="270" w:hanging="283"/>
      </w:pPr>
      <w:rPr>
        <w:rFonts w:ascii="Symbol" w:hAnsi="Symbol" w:cs="Symbol" w:hint="default"/>
        <w:sz w:val="21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270"/>
        </w:tabs>
        <w:ind w:left="270" w:hanging="283"/>
      </w:pPr>
      <w:rPr>
        <w:rFonts w:ascii="Symbol" w:hAnsi="Symbol" w:cs="Symbol" w:hint="default"/>
        <w:sz w:val="21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270"/>
        </w:tabs>
        <w:ind w:left="270" w:hanging="283"/>
      </w:pPr>
      <w:rPr>
        <w:rFonts w:ascii="Symbol" w:hAnsi="Symbol" w:cs="Symbol" w:hint="default"/>
        <w:sz w:val="21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WenQuanYi Zen Hei Sharp" w:cs="Lohit Devanagari"/>
      <w:b/>
      <w:bCs/>
      <w:sz w:val="48"/>
      <w:szCs w:val="48"/>
    </w:rPr>
  </w:style>
  <w:style w:type="paragraph" w:styleId="2">
    <w:name w:val="Heading 2"/>
    <w:basedOn w:val="Style16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WenQuanYi Zen Hei Sharp" w:cs="Lohit Devanagari"/>
      <w:b/>
      <w:bCs/>
      <w:sz w:val="36"/>
      <w:szCs w:val="36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Выделение"/>
    <w:qFormat/>
    <w:rPr>
      <w:i/>
      <w:iCs/>
    </w:rPr>
  </w:style>
  <w:style w:type="character" w:styleId="ListLabel1">
    <w:name w:val="ListLabel 1"/>
    <w:qFormat/>
    <w:rPr>
      <w:rFonts w:ascii="inherit" w:hAnsi="inherit" w:cs="OpenSymbol"/>
      <w:b w:val="false"/>
      <w:sz w:val="21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inherit" w:hAnsi="inherit" w:cs="OpenSymbol"/>
      <w:b w:val="false"/>
      <w:sz w:val="21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inherit" w:hAnsi="inherit" w:cs="OpenSymbol"/>
      <w:b w:val="false"/>
      <w:sz w:val="21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inherit" w:hAnsi="inherit" w:cs="OpenSymbol"/>
      <w:b w:val="false"/>
      <w:sz w:val="21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LibreOffice/6.0.6.1$Linux_X86_64 LibreOffice_project/00$Build-1</Application>
  <Pages>3</Pages>
  <Words>442</Words>
  <Characters>2946</Characters>
  <CharactersWithSpaces>3329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2023-03-20T13:48:16Z</dcterms:created>
  <dc:creator/>
  <dc:description/>
  <dc:language>ru-RU</dc:language>
  <cp:lastModifiedBy/>
  <dcterms:modified xsi:type="dcterms:W3CDTF">2023-03-20T13:54:48Z</dcterms:modified>
  <cp:revision>1</cp:revision>
  <dc:subject/>
  <dc:title/>
</cp:coreProperties>
</file>